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880" w:firstLineChars="2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Times New Roman" w:hAnsi="Times New Roman" w:eastAsia="方正小标宋简体" w:cs="Times New Roman"/>
          <w:sz w:val="44"/>
          <w:szCs w:val="44"/>
          <w:lang w:eastAsia="zh-CN"/>
        </w:rPr>
        <w:t>廊坊市中共大厂回族自治县委农村工作部</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tabs>
          <w:tab w:val="left" w:pos="2520"/>
        </w:tabs>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农工部</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autoSpaceDE w:val="0"/>
        <w:autoSpaceDN w:val="0"/>
        <w:adjustRightInd w:val="0"/>
        <w:spacing w:line="584" w:lineRule="exact"/>
        <w:ind w:firstLine="627" w:firstLineChars="196"/>
        <w:jc w:val="left"/>
        <w:rPr>
          <w:rFonts w:hint="eastAsia" w:ascii="黑体" w:hAnsi="黑体" w:eastAsia="黑体" w:cs="黑体"/>
          <w:sz w:val="28"/>
          <w:szCs w:val="28"/>
        </w:rPr>
      </w:pPr>
      <w:r>
        <w:rPr>
          <w:rFonts w:hint="eastAsia" w:ascii="仿宋_GB2312" w:hAnsi="Times New Roman" w:eastAsia="仿宋_GB2312" w:cs="Times New Roman"/>
          <w:sz w:val="32"/>
          <w:szCs w:val="32"/>
        </w:rPr>
        <w:t>按照“综合协调、工作指导、调查研究、督导检查”的工作职能，为县委指导“三农”工作当好参谋助手。主要承担新农村（新民居）建设、城乡一体化、基层民主政治建设（包括村务公开、民主议事日等）、基层基础工作、局包村(入村访户活动)、涉及“三农”工作的信息、调研等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1676" w:tblpY="1132"/>
        <w:tblOverlap w:val="never"/>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588"/>
        <w:gridCol w:w="1976"/>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092"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588"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197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212"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92"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588" w:type="dxa"/>
            <w:vAlign w:val="top"/>
          </w:tcPr>
          <w:p>
            <w:pPr>
              <w:spacing w:after="0" w:line="560" w:lineRule="exact"/>
              <w:rPr>
                <w:rFonts w:ascii="仿宋_GB2312" w:eastAsia="仿宋_GB2312" w:cs="ArialUnicodeMS" w:hAnsiTheme="minorHAnsi"/>
                <w:kern w:val="0"/>
                <w:sz w:val="28"/>
                <w:szCs w:val="28"/>
              </w:rPr>
            </w:pP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p>
        </w:tc>
        <w:tc>
          <w:tcPr>
            <w:tcW w:w="1976"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行政单位</w:t>
            </w:r>
          </w:p>
        </w:tc>
        <w:tc>
          <w:tcPr>
            <w:tcW w:w="2212"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财政拨款</w:t>
            </w:r>
          </w:p>
        </w:tc>
      </w:tr>
    </w:tbl>
    <w:p>
      <w:pPr>
        <w:widowControl/>
        <w:spacing w:line="560" w:lineRule="exact"/>
        <w:rPr>
          <w:rFonts w:ascii="黑体" w:eastAsia="黑体" w:cs="MS-UIGothic,Bold" w:hAnsiTheme="minorHAnsi"/>
          <w:bCs/>
          <w:kern w:val="0"/>
          <w:sz w:val="52"/>
          <w:szCs w:val="52"/>
        </w:rPr>
      </w:pPr>
    </w:p>
    <w:p>
      <w:pPr>
        <w:widowControl/>
        <w:spacing w:line="560" w:lineRule="exact"/>
        <w:rPr>
          <w:rFonts w:ascii="黑体" w:eastAsia="黑体" w:cs="MS-UIGothic,Bold" w:hAnsiTheme="minorHAnsi"/>
          <w:bCs/>
          <w:kern w:val="0"/>
          <w:sz w:val="52"/>
          <w:szCs w:val="52"/>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49" w:hRule="exac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49"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49"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149.26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125.07</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lang w:val="en-US" w:eastAsia="zh-CN"/>
              </w:rPr>
              <w:t>7.18</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20"/>
                <w:szCs w:val="20"/>
                <w:lang w:val="en-US" w:eastAsia="zh-CN"/>
              </w:rPr>
              <w:t>149.26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lang w:val="en-US" w:eastAsia="zh-CN"/>
              </w:rPr>
              <w:t>148.45</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lang w:val="en-US" w:eastAsia="zh-CN"/>
              </w:rPr>
              <w:t>0.81</w:t>
            </w:r>
          </w:p>
        </w:tc>
      </w:tr>
      <w:tr>
        <w:tblPrEx>
          <w:tblLayout w:type="fixed"/>
          <w:tblCellMar>
            <w:top w:w="0" w:type="dxa"/>
            <w:left w:w="0" w:type="dxa"/>
            <w:bottom w:w="0" w:type="dxa"/>
            <w:right w:w="0" w:type="dxa"/>
          </w:tblCellMar>
        </w:tblPrEx>
        <w:trPr>
          <w:trHeight w:val="306" w:hRule="exac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20"/>
                <w:szCs w:val="20"/>
                <w:lang w:val="en-US" w:eastAsia="zh-CN"/>
              </w:rPr>
              <w:t>149.26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lang w:val="en-US" w:eastAsia="zh-CN"/>
              </w:rPr>
              <w:t>149.26</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335"/>
        <w:gridCol w:w="179"/>
        <w:gridCol w:w="520"/>
        <w:gridCol w:w="1479"/>
        <w:gridCol w:w="372"/>
        <w:gridCol w:w="260"/>
        <w:gridCol w:w="231"/>
        <w:gridCol w:w="584"/>
        <w:gridCol w:w="406"/>
        <w:gridCol w:w="410"/>
        <w:gridCol w:w="337"/>
        <w:gridCol w:w="478"/>
        <w:gridCol w:w="442"/>
        <w:gridCol w:w="373"/>
        <w:gridCol w:w="548"/>
        <w:gridCol w:w="920"/>
        <w:gridCol w:w="926"/>
      </w:tblGrid>
      <w:tr>
        <w:tblPrEx>
          <w:tblLayout w:type="fixed"/>
          <w:tblCellMar>
            <w:top w:w="0" w:type="dxa"/>
            <w:left w:w="0" w:type="dxa"/>
            <w:bottom w:w="0" w:type="dxa"/>
            <w:right w:w="0" w:type="dxa"/>
          </w:tblCellMar>
        </w:tblPrEx>
        <w:trPr>
          <w:trHeight w:val="565"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7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2513"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63"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9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47"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79"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63"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9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47"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25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8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363" w:hRule="exact"/>
          <w:jc w:val="center"/>
        </w:trPr>
        <w:tc>
          <w:tcPr>
            <w:tcW w:w="25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86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149.26</w:t>
            </w:r>
          </w:p>
        </w:tc>
        <w:tc>
          <w:tcPr>
            <w:tcW w:w="99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149.26</w:t>
            </w:r>
          </w:p>
        </w:tc>
        <w:tc>
          <w:tcPr>
            <w:tcW w:w="74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一般公共服务支出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民主党派及工商联事务</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2012801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125.88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社会保障和就业支出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行政事业单位离退休</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2080505</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机关事业单位基本养老保险缴费支出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11.95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医疗卫生与计划生育支出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行政事业单位医疗</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2101101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行政单位医疗</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4.24</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住房保障支出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63" w:hRule="exac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住房公积金</w:t>
            </w:r>
          </w:p>
        </w:tc>
        <w:tc>
          <w:tcPr>
            <w:tcW w:w="86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7.18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291"/>
        <w:gridCol w:w="1728"/>
        <w:gridCol w:w="548"/>
        <w:gridCol w:w="436"/>
        <w:gridCol w:w="682"/>
        <w:gridCol w:w="506"/>
        <w:gridCol w:w="614"/>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9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2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4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63" w:hRule="exact"/>
        </w:trPr>
        <w:tc>
          <w:tcPr>
            <w:tcW w:w="259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188"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7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84"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88"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7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259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9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8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7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63" w:hRule="exact"/>
        </w:trPr>
        <w:tc>
          <w:tcPr>
            <w:tcW w:w="259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合计</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一般公共服务支出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民主党派及工商联事务</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2012801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社会保障和就业支出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行政事业单位离退休</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2080505</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机关事业单位基本养老保险缴费支出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医疗卫生与计划生育支出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行政事业单位医疗</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2101101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行政单位医疗</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住房保障支出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63" w:hRule="exact"/>
        </w:trPr>
        <w:tc>
          <w:tcPr>
            <w:tcW w:w="87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住房公积金</w:t>
            </w:r>
          </w:p>
        </w:tc>
        <w:tc>
          <w:tcPr>
            <w:tcW w:w="9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1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9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149.26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125.07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125.07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11.95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11.95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4.24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4.24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149.26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0.81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0.81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149.26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149.26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149.26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780" w:type="dxa"/>
        <w:tblInd w:w="0" w:type="dxa"/>
        <w:tblLayout w:type="fixed"/>
        <w:tblCellMar>
          <w:top w:w="0" w:type="dxa"/>
          <w:left w:w="0" w:type="dxa"/>
          <w:bottom w:w="0" w:type="dxa"/>
          <w:right w:w="0" w:type="dxa"/>
        </w:tblCellMar>
      </w:tblPr>
      <w:tblGrid>
        <w:gridCol w:w="314"/>
        <w:gridCol w:w="316"/>
        <w:gridCol w:w="354"/>
        <w:gridCol w:w="2090"/>
        <w:gridCol w:w="738"/>
        <w:gridCol w:w="1164"/>
        <w:gridCol w:w="712"/>
        <w:gridCol w:w="1189"/>
        <w:gridCol w:w="1903"/>
      </w:tblGrid>
      <w:tr>
        <w:tblPrEx>
          <w:tblLayout w:type="fixed"/>
          <w:tblCellMar>
            <w:top w:w="0" w:type="dxa"/>
            <w:left w:w="0" w:type="dxa"/>
            <w:bottom w:w="0" w:type="dxa"/>
            <w:right w:w="0" w:type="dxa"/>
          </w:tblCellMar>
        </w:tblPrEx>
        <w:trPr>
          <w:trHeight w:val="616" w:hRule="atLeast"/>
        </w:trPr>
        <w:tc>
          <w:tcPr>
            <w:tcW w:w="878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2" w:hRule="atLeast"/>
        </w:trPr>
        <w:tc>
          <w:tcPr>
            <w:tcW w:w="31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0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7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435" w:hRule="atLeast"/>
        </w:trPr>
        <w:tc>
          <w:tcPr>
            <w:tcW w:w="5688"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30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6" w:hRule="exact"/>
        </w:trPr>
        <w:tc>
          <w:tcPr>
            <w:tcW w:w="30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570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w:t>
            </w:r>
          </w:p>
        </w:tc>
      </w:tr>
      <w:tr>
        <w:tblPrEx>
          <w:tblLayout w:type="fixed"/>
          <w:tblCellMar>
            <w:top w:w="0" w:type="dxa"/>
            <w:left w:w="0" w:type="dxa"/>
            <w:bottom w:w="0" w:type="dxa"/>
            <w:right w:w="0" w:type="dxa"/>
          </w:tblCellMar>
        </w:tblPrEx>
        <w:trPr>
          <w:trHeight w:val="312" w:hRule="exact"/>
        </w:trPr>
        <w:tc>
          <w:tcPr>
            <w:tcW w:w="98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功能分类科目编码</w:t>
            </w:r>
          </w:p>
        </w:tc>
        <w:tc>
          <w:tcPr>
            <w:tcW w:w="209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90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小计</w:t>
            </w:r>
          </w:p>
        </w:tc>
        <w:tc>
          <w:tcPr>
            <w:tcW w:w="190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基本支出</w:t>
            </w:r>
          </w:p>
        </w:tc>
        <w:tc>
          <w:tcPr>
            <w:tcW w:w="19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项目支出</w:t>
            </w:r>
          </w:p>
        </w:tc>
      </w:tr>
      <w:tr>
        <w:tblPrEx>
          <w:tblLayout w:type="fixed"/>
          <w:tblCellMar>
            <w:top w:w="0" w:type="dxa"/>
            <w:left w:w="0" w:type="dxa"/>
            <w:bottom w:w="0" w:type="dxa"/>
            <w:right w:w="0" w:type="dxa"/>
          </w:tblCellMar>
        </w:tblPrEx>
        <w:trPr>
          <w:trHeight w:val="312" w:hRule="exact"/>
        </w:trPr>
        <w:tc>
          <w:tcPr>
            <w:tcW w:w="98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09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98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209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1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06" w:hRule="exact"/>
        </w:trPr>
        <w:tc>
          <w:tcPr>
            <w:tcW w:w="30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栏次</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Layout w:type="fixed"/>
          <w:tblCellMar>
            <w:top w:w="0" w:type="dxa"/>
            <w:left w:w="0" w:type="dxa"/>
            <w:bottom w:w="0" w:type="dxa"/>
            <w:right w:w="0" w:type="dxa"/>
          </w:tblCellMar>
        </w:tblPrEx>
        <w:trPr>
          <w:trHeight w:val="306" w:hRule="exact"/>
        </w:trPr>
        <w:tc>
          <w:tcPr>
            <w:tcW w:w="30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合计</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148.45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一般公共服务支出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民主党派及工商联事务</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2012801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行政运行</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125.07</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社会保障和就业支出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行政事业单位离退休</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2080505</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机关事业单位基本养老保险缴费支出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医疗卫生与计划生育支出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行政事业单位医疗</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2101101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行政单位医疗</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住房保障支出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住房改革支出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06" w:hRule="exac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住房公积金</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42" w:hRule="atLeast"/>
        </w:trPr>
        <w:tc>
          <w:tcPr>
            <w:tcW w:w="87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740" w:type="dxa"/>
        <w:jc w:val="center"/>
        <w:tblInd w:w="0" w:type="dxa"/>
        <w:tblLayout w:type="fixed"/>
        <w:tblCellMar>
          <w:top w:w="0" w:type="dxa"/>
          <w:left w:w="0" w:type="dxa"/>
          <w:bottom w:w="0" w:type="dxa"/>
          <w:right w:w="0" w:type="dxa"/>
        </w:tblCellMar>
      </w:tblPr>
      <w:tblGrid>
        <w:gridCol w:w="529"/>
        <w:gridCol w:w="1519"/>
        <w:gridCol w:w="797"/>
        <w:gridCol w:w="452"/>
        <w:gridCol w:w="1675"/>
        <w:gridCol w:w="3"/>
        <w:gridCol w:w="700"/>
        <w:gridCol w:w="2"/>
        <w:gridCol w:w="531"/>
        <w:gridCol w:w="1699"/>
        <w:gridCol w:w="833"/>
      </w:tblGrid>
      <w:tr>
        <w:tblPrEx>
          <w:tblLayout w:type="fixed"/>
          <w:tblCellMar>
            <w:top w:w="0" w:type="dxa"/>
            <w:left w:w="0" w:type="dxa"/>
            <w:bottom w:w="0" w:type="dxa"/>
            <w:right w:w="0" w:type="dxa"/>
          </w:tblCellMar>
        </w:tblPrEx>
        <w:trPr>
          <w:trHeight w:val="90" w:hRule="atLeast"/>
          <w:jc w:val="center"/>
        </w:trPr>
        <w:tc>
          <w:tcPr>
            <w:tcW w:w="874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9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5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7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3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53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90" w:hRule="atLeast"/>
          <w:jc w:val="center"/>
        </w:trPr>
        <w:tc>
          <w:tcPr>
            <w:tcW w:w="4975"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7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3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53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90" w:hRule="atLeast"/>
          <w:jc w:val="center"/>
        </w:trPr>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5895" w:type="dxa"/>
            <w:gridSpan w:val="8"/>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2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0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3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2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0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工资福利支出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99.16</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商品和服务支出</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25.45</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债务利息及费用支出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基本工资</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70.49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办公费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2.38</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30701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国内债务付息</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津贴补贴</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印刷费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7.13</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30702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国外债务付息</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奖金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30203</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咨询费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资本性支出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2.54</w:t>
            </w: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30106</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伙食补助费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手续费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房屋建筑物购建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30107</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绩效工资</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水费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办公设备购置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2.54</w:t>
            </w: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30108</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机关事业单位基本养老保险缴费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11.95</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电费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31003</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专用设备购置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30109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职业年金缴费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邮电费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4.54</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31005</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基础设施建设</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30110</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职工基本医疗保险缴费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取暖费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31006</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大型修缮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30111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公务员医疗补助缴费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30209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物业管理费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信息网络及软件购置更新</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30112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其他社会保障缴费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0.22</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差旅费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0.69</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31008</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物资储备</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30113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住房公积金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7.18</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因公出国（境）费用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31009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土地补偿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30114</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医疗费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30213</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维修（护）费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1.52</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31010</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安置补助</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30199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其他工资福利支出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0.07</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租赁费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31011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地上附着物和青苗补偿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对个人和家庭的补助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会议费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31012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拆迁补偿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离休费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培训费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0.38</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31013</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公务用车购置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退休费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公务接待费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0.04</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31019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其他交通工具购置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退职（役）费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30218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专用材料费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31021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文物和陈列品购置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30304</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抚恤金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被装购置费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31022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无形资产购置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30305</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生活补助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专用燃料费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31099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其他资本性支出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30306</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救济费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0.10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劳务费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0.32</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其他支出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30307</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医疗费补助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委托业务费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39906</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赠与</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30308</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助学金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工会经费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0.66</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39907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国家赔偿费用支出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30309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奖励金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30229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福利费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0.27</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39908</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对民间非营利组织和群众性自治组织补贴</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30310</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个人农业生产补贴</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30231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公务用车运行维护费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39999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30399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其他对个人和家庭的补助支出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30239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其他交通费用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5.02</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5"/>
                <w:szCs w:val="15"/>
              </w:rPr>
            </w:pP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30240</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税金及附加费用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317" w:hRule="exac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5"/>
                <w:szCs w:val="15"/>
              </w:rPr>
            </w:pP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5"/>
                <w:szCs w:val="15"/>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30299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其他商品和服务支出</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317" w:hRule="exact"/>
          <w:jc w:val="center"/>
        </w:trPr>
        <w:tc>
          <w:tcPr>
            <w:tcW w:w="204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eastAsia="宋体" w:cs="宋体"/>
                <w:i w:val="0"/>
                <w:color w:val="000000"/>
                <w:kern w:val="0"/>
                <w:sz w:val="15"/>
                <w:szCs w:val="15"/>
                <w:u w:val="none"/>
                <w:lang w:val="en-US" w:eastAsia="zh-CN" w:bidi="ar"/>
              </w:rPr>
              <w:t>人员</w:t>
            </w:r>
            <w:r>
              <w:rPr>
                <w:rFonts w:hint="eastAsia" w:ascii="宋体" w:hAnsi="宋体" w:cs="宋体"/>
                <w:color w:val="000000"/>
                <w:kern w:val="0"/>
                <w:sz w:val="18"/>
                <w:szCs w:val="18"/>
                <w:lang w:val="en-US" w:eastAsia="zh-CN"/>
              </w:rPr>
              <w:t>经费</w:t>
            </w:r>
            <w:r>
              <w:rPr>
                <w:rFonts w:hint="eastAsia" w:ascii="宋体" w:hAnsi="宋体" w:eastAsia="宋体" w:cs="宋体"/>
                <w:i w:val="0"/>
                <w:color w:val="000000"/>
                <w:kern w:val="0"/>
                <w:sz w:val="15"/>
                <w:szCs w:val="15"/>
                <w:u w:val="none"/>
                <w:lang w:val="en-US" w:eastAsia="zh-CN" w:bidi="ar"/>
              </w:rPr>
              <w:t>合计</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120.46</w:t>
            </w:r>
          </w:p>
        </w:tc>
        <w:tc>
          <w:tcPr>
            <w:tcW w:w="506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公用经费合计</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5"/>
                <w:szCs w:val="15"/>
                <w:lang w:val="en-US" w:eastAsia="zh-CN"/>
              </w:rPr>
            </w:pPr>
            <w:r>
              <w:rPr>
                <w:rFonts w:hint="eastAsia" w:ascii="宋体" w:hAnsi="宋体" w:eastAsia="宋体" w:cs="宋体"/>
                <w:i w:val="0"/>
                <w:color w:val="000000"/>
                <w:kern w:val="0"/>
                <w:sz w:val="15"/>
                <w:szCs w:val="15"/>
                <w:u w:val="none"/>
                <w:lang w:val="en-US" w:eastAsia="zh-CN" w:bidi="ar"/>
              </w:rPr>
              <w:t>27.99</w:t>
            </w:r>
          </w:p>
        </w:tc>
      </w:tr>
      <w:tr>
        <w:tblPrEx>
          <w:tblLayout w:type="fixed"/>
          <w:tblCellMar>
            <w:top w:w="0" w:type="dxa"/>
            <w:left w:w="0" w:type="dxa"/>
            <w:bottom w:w="0" w:type="dxa"/>
            <w:right w:w="0" w:type="dxa"/>
          </w:tblCellMar>
        </w:tblPrEx>
        <w:trPr>
          <w:trHeight w:val="90" w:hRule="atLeast"/>
          <w:jc w:val="center"/>
        </w:trPr>
        <w:tc>
          <w:tcPr>
            <w:tcW w:w="874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13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0.28</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0.04</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hint="eastAsia" w:ascii="宋体" w:hAnsi="宋体" w:cs="宋体"/>
                <w:color w:val="000000"/>
                <w:kern w:val="0"/>
                <w:sz w:val="18"/>
                <w:szCs w:val="18"/>
                <w:lang w:val="en-US" w:eastAsia="zh-CN"/>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注：本部门本年度无</w:t>
            </w:r>
            <w:r>
              <w:rPr>
                <w:rFonts w:hint="eastAsia" w:ascii="宋体" w:hAnsi="宋体" w:cs="宋体"/>
                <w:color w:val="000000"/>
                <w:kern w:val="0"/>
                <w:szCs w:val="21"/>
                <w:lang w:eastAsia="zh-CN"/>
              </w:rPr>
              <w:t>政府性基金预算财政拨款收入</w:t>
            </w:r>
            <w:r>
              <w:rPr>
                <w:rFonts w:hint="eastAsia" w:ascii="宋体" w:hAnsi="宋体" w:cs="宋体"/>
                <w:color w:val="000000"/>
                <w:kern w:val="0"/>
                <w:szCs w:val="21"/>
              </w:rPr>
              <w:t xml:space="preserve">支出情况，按要求空表列示。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w:t>
            </w:r>
            <w:r>
              <w:rPr>
                <w:rFonts w:hint="eastAsia" w:ascii="宋体" w:hAnsi="宋体" w:cs="宋体"/>
                <w:color w:val="000000"/>
                <w:kern w:val="0"/>
                <w:sz w:val="22"/>
                <w:szCs w:val="22"/>
                <w:lang w:eastAsia="zh-CN"/>
              </w:rPr>
              <w:t>部门</w:t>
            </w:r>
            <w:r>
              <w:rPr>
                <w:rFonts w:hint="eastAsia" w:ascii="宋体" w:hAnsi="宋体" w:cs="宋体"/>
                <w:color w:val="000000"/>
                <w:kern w:val="0"/>
                <w:sz w:val="22"/>
                <w:szCs w:val="22"/>
              </w:rPr>
              <w:t>本年度</w:t>
            </w:r>
            <w:r>
              <w:rPr>
                <w:rFonts w:hint="eastAsia" w:ascii="宋体" w:hAnsi="宋体" w:cs="宋体"/>
                <w:color w:val="000000"/>
                <w:kern w:val="0"/>
                <w:sz w:val="22"/>
                <w:szCs w:val="22"/>
                <w:lang w:eastAsia="zh-CN"/>
              </w:rPr>
              <w:t>无</w:t>
            </w:r>
            <w:r>
              <w:rPr>
                <w:rFonts w:hint="eastAsia" w:ascii="宋体" w:hAnsi="宋体" w:cs="宋体"/>
                <w:color w:val="000000"/>
                <w:kern w:val="0"/>
                <w:sz w:val="22"/>
                <w:szCs w:val="22"/>
              </w:rPr>
              <w:t>国有资本经营预算财政拨款支出情况</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 w:val="20"/>
                <w:szCs w:val="20"/>
              </w:rPr>
              <w:t>部门：廊坊市</w:t>
            </w:r>
            <w:r>
              <w:rPr>
                <w:rFonts w:hint="eastAsia" w:ascii="Times New Roman" w:hAnsi="Times New Roman" w:eastAsia="方正书宋_GBK" w:cs="Times New Roman"/>
                <w:szCs w:val="24"/>
                <w:lang w:eastAsia="zh-CN"/>
              </w:rPr>
              <w:t>中共</w:t>
            </w:r>
            <w:r>
              <w:rPr>
                <w:rFonts w:hint="eastAsia" w:ascii="Times New Roman" w:hAnsi="Times New Roman" w:eastAsia="方正书宋_GBK" w:cs="Times New Roman"/>
                <w:szCs w:val="24"/>
              </w:rPr>
              <w:t>大厂回族自治县委</w:t>
            </w:r>
            <w:r>
              <w:rPr>
                <w:rFonts w:hint="eastAsia" w:ascii="Times New Roman" w:hAnsi="Times New Roman" w:eastAsia="方正书宋_GBK" w:cs="Times New Roman"/>
                <w:szCs w:val="24"/>
                <w:lang w:eastAsia="zh-CN"/>
              </w:rPr>
              <w:t>农村工作部</w:t>
            </w:r>
            <w:r>
              <w:rPr>
                <w:rFonts w:hint="eastAsia" w:ascii="宋体" w:hAnsi="宋体" w:cs="宋体"/>
                <w:color w:val="000000"/>
                <w:kern w:val="0"/>
                <w:sz w:val="20"/>
                <w:szCs w:val="20"/>
              </w:rPr>
              <w:t>（本级）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注：本部门本年度</w:t>
            </w:r>
            <w:r>
              <w:rPr>
                <w:rFonts w:hint="eastAsia" w:ascii="宋体" w:hAnsi="宋体" w:cs="宋体"/>
                <w:color w:val="000000"/>
                <w:kern w:val="0"/>
                <w:szCs w:val="21"/>
                <w:lang w:eastAsia="zh-CN"/>
              </w:rPr>
              <w:t>无</w:t>
            </w:r>
            <w:r>
              <w:rPr>
                <w:rFonts w:hint="eastAsia" w:ascii="宋体" w:hAnsi="宋体" w:cs="宋体"/>
                <w:color w:val="000000"/>
                <w:kern w:val="0"/>
                <w:szCs w:val="21"/>
              </w:rPr>
              <w:t xml:space="preserve">政府采购预算及支出情况，按要求空表列示。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4" w:lineRule="exact"/>
        <w:jc w:val="center"/>
        <w:rPr>
          <w:rFonts w:hint="eastAsia" w:ascii="仿宋_GB2312" w:hAnsi="仿宋_GB2312" w:eastAsia="仿宋_GB2312" w:cs="仿宋_GB2312"/>
          <w:sz w:val="32"/>
          <w:szCs w:val="32"/>
        </w:rPr>
      </w:pPr>
      <w:r>
        <w:rPr>
          <w:rFonts w:hint="eastAsia" w:eastAsiaTheme="minorEastAsia"/>
          <w:sz w:val="32"/>
          <w:szCs w:val="32"/>
        </w:rPr>
        <w:drawing>
          <wp:anchor distT="0" distB="0" distL="114300" distR="114300" simplePos="0" relativeHeight="251667456" behindDoc="0" locked="0" layoutInCell="1" allowOverlap="1">
            <wp:simplePos x="0" y="0"/>
            <wp:positionH relativeFrom="column">
              <wp:posOffset>386080</wp:posOffset>
            </wp:positionH>
            <wp:positionV relativeFrom="paragraph">
              <wp:posOffset>415290</wp:posOffset>
            </wp:positionV>
            <wp:extent cx="5086350" cy="295275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仿宋_GB2312" w:hAnsi="仿宋_GB2312" w:eastAsia="仿宋_GB2312" w:cs="仿宋_GB2312"/>
          <w:sz w:val="32"/>
          <w:szCs w:val="32"/>
        </w:rPr>
        <w:t>图1：收入决算结构饼状图</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148.45</w:t>
      </w:r>
      <w:r>
        <w:rPr>
          <w:rFonts w:hint="eastAsia" w:ascii="仿宋_GB2312" w:eastAsia="仿宋_GB2312" w:cs="DengXian-Regular"/>
          <w:sz w:val="32"/>
          <w:szCs w:val="32"/>
        </w:rPr>
        <w:t>万元，其中：基支出</w:t>
      </w:r>
      <w:r>
        <w:rPr>
          <w:rFonts w:hint="eastAsia" w:ascii="仿宋_GB2312" w:eastAsia="仿宋_GB2312" w:cs="DengXian-Regular"/>
          <w:sz w:val="32"/>
          <w:szCs w:val="32"/>
          <w:lang w:val="en-US" w:eastAsia="zh-CN"/>
        </w:rPr>
        <w:t>148.45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图2：支出决算结构饼状图</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eastAsiaTheme="minorEastAsia"/>
          <w:sz w:val="32"/>
          <w:szCs w:val="32"/>
        </w:rPr>
        <w:drawing>
          <wp:anchor distT="0" distB="0" distL="114300" distR="114300" simplePos="0" relativeHeight="251668480" behindDoc="0" locked="0" layoutInCell="1" allowOverlap="1">
            <wp:simplePos x="0" y="0"/>
            <wp:positionH relativeFrom="column">
              <wp:posOffset>477520</wp:posOffset>
            </wp:positionH>
            <wp:positionV relativeFrom="paragraph">
              <wp:posOffset>151130</wp:posOffset>
            </wp:positionV>
            <wp:extent cx="5086350" cy="295275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adjustRightInd w:val="0"/>
        <w:snapToGrid w:val="0"/>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eastAsia="仿宋_GB2312"/>
          <w:sz w:val="32"/>
          <w:szCs w:val="32"/>
          <w:lang w:eastAsia="zh-CN"/>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bookmarkStart w:id="0" w:name="_GoBack"/>
      <w:bookmarkEnd w:id="0"/>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149.26</w:t>
      </w:r>
      <w:r>
        <w:rPr>
          <w:rFonts w:hint="eastAsia" w:ascii="仿宋_GB2312" w:eastAsia="仿宋_GB2312" w:cs="DengXian-Regular"/>
          <w:sz w:val="32"/>
          <w:szCs w:val="32"/>
        </w:rPr>
        <w:t>万元，完成年</w:t>
      </w:r>
      <w:r>
        <w:rPr>
          <w:rFonts w:hint="eastAsia" w:ascii="仿宋_GB2312" w:eastAsia="仿宋_GB2312" w:cs="DengXian-Regular"/>
          <w:sz w:val="32"/>
          <w:szCs w:val="32"/>
          <w:highlight w:val="none"/>
        </w:rPr>
        <w:t>初预算的</w:t>
      </w:r>
      <w:r>
        <w:rPr>
          <w:rFonts w:hint="eastAsia" w:ascii="仿宋_GB2312" w:eastAsia="仿宋_GB2312" w:cs="DengXian-Regular"/>
          <w:sz w:val="32"/>
          <w:szCs w:val="32"/>
          <w:highlight w:val="none"/>
          <w:lang w:val="en-US" w:eastAsia="zh-CN"/>
        </w:rPr>
        <w:t>99.46</w:t>
      </w:r>
      <w:r>
        <w:rPr>
          <w:rFonts w:hint="eastAsia" w:ascii="仿宋_GB2312" w:eastAsia="仿宋_GB2312" w:cs="DengXian-Regular"/>
          <w:sz w:val="32"/>
          <w:szCs w:val="32"/>
          <w:highlight w:val="none"/>
        </w:rPr>
        <w:t>%,比年初预算</w:t>
      </w:r>
      <w:r>
        <w:rPr>
          <w:rFonts w:hint="eastAsia" w:ascii="仿宋_GB2312" w:eastAsia="仿宋_GB2312" w:cs="DengXian-Regular"/>
          <w:sz w:val="32"/>
          <w:szCs w:val="32"/>
          <w:highlight w:val="none"/>
          <w:lang w:eastAsia="zh-CN"/>
        </w:rPr>
        <w:t>减少</w:t>
      </w:r>
      <w:r>
        <w:rPr>
          <w:rFonts w:hint="eastAsia" w:ascii="仿宋_GB2312" w:eastAsia="仿宋_GB2312" w:cs="DengXian-Regular"/>
          <w:sz w:val="32"/>
          <w:szCs w:val="32"/>
          <w:highlight w:val="none"/>
          <w:lang w:val="en-US" w:eastAsia="zh-CN"/>
        </w:rPr>
        <w:t>0.81</w:t>
      </w:r>
      <w:r>
        <w:rPr>
          <w:rFonts w:hint="eastAsia" w:ascii="仿宋_GB2312" w:eastAsia="仿宋_GB2312" w:cs="DengXian-Regular"/>
          <w:sz w:val="32"/>
          <w:szCs w:val="32"/>
          <w:highlight w:val="none"/>
        </w:rPr>
        <w:t>万元，决算数</w:t>
      </w:r>
      <w:r>
        <w:rPr>
          <w:rFonts w:hint="eastAsia" w:ascii="仿宋_GB2312" w:eastAsia="仿宋_GB2312" w:cs="DengXian-Regular"/>
          <w:sz w:val="32"/>
          <w:szCs w:val="32"/>
          <w:highlight w:val="none"/>
          <w:lang w:val="en-US" w:eastAsia="zh-CN"/>
        </w:rPr>
        <w:t>小于</w:t>
      </w:r>
      <w:r>
        <w:rPr>
          <w:rFonts w:hint="eastAsia" w:ascii="仿宋_GB2312" w:eastAsia="仿宋_GB2312" w:cs="DengXian-Regular"/>
          <w:sz w:val="32"/>
          <w:szCs w:val="32"/>
          <w:highlight w:val="none"/>
        </w:rPr>
        <w:t>预算</w:t>
      </w:r>
      <w:r>
        <w:rPr>
          <w:rFonts w:hint="eastAsia" w:ascii="仿宋_GB2312" w:eastAsia="仿宋_GB2312" w:cs="DengXian-Regular"/>
          <w:sz w:val="32"/>
          <w:szCs w:val="32"/>
        </w:rPr>
        <w:t>数主要是</w:t>
      </w:r>
      <w:r>
        <w:rPr>
          <w:rFonts w:hint="eastAsia" w:ascii="仿宋_GB2312" w:eastAsia="仿宋_GB2312" w:cs="DengXian-Regular"/>
          <w:sz w:val="32"/>
          <w:szCs w:val="32"/>
          <w:lang w:eastAsia="zh-CN"/>
        </w:rPr>
        <w:t>压减支出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99.46</w:t>
      </w:r>
      <w:r>
        <w:rPr>
          <w:rFonts w:hint="eastAsia" w:ascii="仿宋_GB2312" w:eastAsia="仿宋_GB2312" w:cs="DengXian-Regular"/>
          <w:sz w:val="32"/>
          <w:szCs w:val="32"/>
        </w:rPr>
        <w:t>%，比年初预算</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0.81</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小</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压减支出。</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w:t>
      </w:r>
      <w:r>
        <w:rPr>
          <w:rFonts w:hint="eastAsia" w:eastAsia="仿宋_GB2312"/>
          <w:sz w:val="32"/>
          <w:szCs w:val="32"/>
          <w:lang w:val="en-US" w:eastAsia="zh-CN"/>
        </w:rPr>
        <w:t>3</w:t>
      </w:r>
      <w:r>
        <w:rPr>
          <w:rFonts w:hint="eastAsia" w:eastAsia="仿宋_GB2312"/>
          <w:sz w:val="32"/>
          <w:szCs w:val="32"/>
        </w:rPr>
        <w:t>：财政拨款收支预决算对比情况</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hint="eastAsia" w:ascii="仿宋" w:hAnsi="仿宋" w:eastAsia="仿宋" w:cs="仿宋"/>
          <w:sz w:val="32"/>
          <w:szCs w:val="32"/>
          <w:highlight w:val="yellow"/>
          <w:lang w:eastAsia="zh-CN"/>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hint="eastAsia" w:ascii="仿宋" w:hAnsi="仿宋" w:eastAsia="仿宋" w:cs="仿宋"/>
          <w:sz w:val="32"/>
          <w:szCs w:val="32"/>
          <w:highlight w:val="yellow"/>
        </w:rPr>
      </w:pPr>
    </w:p>
    <w:p>
      <w:pPr>
        <w:adjustRightInd w:val="0"/>
        <w:snapToGrid w:val="0"/>
        <w:spacing w:after="0" w:line="580" w:lineRule="exact"/>
        <w:ind w:firstLine="640" w:firstLineChars="200"/>
        <w:rPr>
          <w:rFonts w:ascii="仿宋" w:hAnsi="仿宋" w:eastAsia="仿宋" w:cs="仿宋"/>
          <w:sz w:val="32"/>
          <w:szCs w:val="32"/>
          <w:highlight w:val="yellow"/>
        </w:rPr>
      </w:pPr>
    </w:p>
    <w:p>
      <w:pPr>
        <w:adjustRightInd w:val="0"/>
        <w:snapToGrid w:val="0"/>
        <w:spacing w:after="0" w:line="580" w:lineRule="exact"/>
        <w:ind w:firstLine="640" w:firstLineChars="200"/>
        <w:rPr>
          <w:rFonts w:hint="eastAsia" w:ascii="仿宋_GB2312" w:cs="DengXian-Regular" w:eastAsiaTheme="minorEastAsia"/>
          <w:sz w:val="32"/>
          <w:szCs w:val="32"/>
          <w:highlight w:val="yellow"/>
        </w:rPr>
      </w:pPr>
      <w:r>
        <w:rPr>
          <w:rFonts w:hint="eastAsia" w:ascii="仿宋" w:hAnsi="仿宋" w:eastAsia="仿宋" w:cs="仿宋"/>
          <w:sz w:val="32"/>
          <w:szCs w:val="32"/>
          <w:highlight w:val="yellow"/>
          <w:lang w:eastAsia="zh-CN"/>
        </w:rPr>
        <w:drawing>
          <wp:anchor distT="0" distB="0" distL="114300" distR="114300" simplePos="0" relativeHeight="251669504" behindDoc="0" locked="0" layoutInCell="1" allowOverlap="1">
            <wp:simplePos x="0" y="0"/>
            <wp:positionH relativeFrom="column">
              <wp:posOffset>410845</wp:posOffset>
            </wp:positionH>
            <wp:positionV relativeFrom="paragraph">
              <wp:posOffset>-2992755</wp:posOffset>
            </wp:positionV>
            <wp:extent cx="4867275" cy="3276600"/>
            <wp:effectExtent l="4445" t="4445" r="5080" b="1079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hint="eastAsia" w:ascii="仿宋_GB2312" w:cs="DengXian-Regular" w:eastAsiaTheme="minorEastAsia"/>
          <w:sz w:val="32"/>
          <w:szCs w:val="32"/>
          <w:highlight w:val="yellow"/>
        </w:rPr>
      </w:pPr>
    </w:p>
    <w:p>
      <w:pPr>
        <w:numPr>
          <w:ilvl w:val="0"/>
          <w:numId w:val="1"/>
        </w:numPr>
        <w:adjustRightInd w:val="0"/>
        <w:snapToGrid w:val="0"/>
        <w:spacing w:after="0" w:line="580" w:lineRule="exact"/>
        <w:ind w:left="630" w:leftChars="0" w:firstLineChars="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148.45</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一般公共服务支出</w:t>
      </w:r>
      <w:r>
        <w:rPr>
          <w:rFonts w:hint="eastAsia" w:ascii="仿宋_GB2312" w:eastAsia="仿宋_GB2312" w:cs="DengXian-Regular"/>
          <w:sz w:val="32"/>
          <w:szCs w:val="32"/>
          <w:lang w:val="en-US" w:eastAsia="zh-CN"/>
        </w:rPr>
        <w:t>125.07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84.25</w:t>
      </w:r>
      <w:r>
        <w:rPr>
          <w:rFonts w:hint="eastAsia" w:ascii="仿宋_GB2312" w:eastAsia="仿宋_GB2312" w:cs="DengXian-Regular"/>
          <w:sz w:val="32"/>
          <w:szCs w:val="32"/>
        </w:rPr>
        <w:t>%；社会保障和就业支出</w:t>
      </w:r>
      <w:r>
        <w:rPr>
          <w:rFonts w:hint="eastAsia" w:ascii="仿宋_GB2312" w:eastAsia="仿宋_GB2312" w:cs="DengXian-Regular"/>
          <w:sz w:val="32"/>
          <w:szCs w:val="32"/>
          <w:lang w:val="en-US" w:eastAsia="zh-CN"/>
        </w:rPr>
        <w:t>11.95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8.05</w:t>
      </w:r>
      <w:r>
        <w:rPr>
          <w:rFonts w:hint="eastAsia" w:ascii="仿宋_GB2312" w:eastAsia="仿宋_GB2312" w:cs="DengXian-Regular"/>
          <w:sz w:val="32"/>
          <w:szCs w:val="32"/>
        </w:rPr>
        <w:t xml:space="preserve">%；医疗卫生与计划生育支出 </w:t>
      </w:r>
      <w:r>
        <w:rPr>
          <w:rFonts w:hint="eastAsia" w:ascii="仿宋_GB2312" w:eastAsia="仿宋_GB2312" w:cs="DengXian-Regular"/>
          <w:sz w:val="32"/>
          <w:szCs w:val="32"/>
          <w:lang w:val="en-US" w:eastAsia="zh-CN"/>
        </w:rPr>
        <w:t>4.24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2.86</w:t>
      </w:r>
      <w:r>
        <w:rPr>
          <w:rFonts w:hint="eastAsia" w:ascii="仿宋_GB2312" w:eastAsia="仿宋_GB2312" w:cs="DengXian-Regular"/>
          <w:sz w:val="32"/>
          <w:szCs w:val="32"/>
        </w:rPr>
        <w:t>%；住房保障支出</w:t>
      </w:r>
      <w:r>
        <w:rPr>
          <w:rFonts w:hint="eastAsia" w:ascii="仿宋_GB2312" w:eastAsia="仿宋_GB2312" w:cs="DengXian-Regular"/>
          <w:sz w:val="32"/>
          <w:szCs w:val="32"/>
          <w:lang w:val="en-US" w:eastAsia="zh-CN"/>
        </w:rPr>
        <w:t>7.18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4.84</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hint="eastAsia" w:eastAsia="仿宋_GB2312"/>
          <w:sz w:val="32"/>
          <w:szCs w:val="32"/>
          <w:lang w:val="en-US" w:eastAsia="zh-CN"/>
        </w:rPr>
        <w:t>4</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64384" behindDoc="0" locked="0" layoutInCell="1" allowOverlap="1">
            <wp:simplePos x="0" y="0"/>
            <wp:positionH relativeFrom="column">
              <wp:posOffset>382270</wp:posOffset>
            </wp:positionH>
            <wp:positionV relativeFrom="paragraph">
              <wp:posOffset>315595</wp:posOffset>
            </wp:positionV>
            <wp:extent cx="5080000" cy="3810000"/>
            <wp:effectExtent l="4445" t="4445" r="2095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148.45</w:t>
      </w:r>
      <w:r>
        <w:rPr>
          <w:rFonts w:hint="eastAsia" w:ascii="仿宋_GB2312" w:eastAsia="仿宋_GB2312" w:cs="DengXian-Regular"/>
          <w:sz w:val="32"/>
          <w:szCs w:val="32"/>
        </w:rPr>
        <w:t>元，其中：人员经费</w:t>
      </w:r>
      <w:r>
        <w:rPr>
          <w:rFonts w:hint="eastAsia" w:ascii="仿宋_GB2312" w:eastAsia="仿宋_GB2312" w:cs="DengXian-Regular"/>
          <w:sz w:val="32"/>
          <w:szCs w:val="32"/>
          <w:lang w:val="en-US" w:eastAsia="zh-CN"/>
        </w:rPr>
        <w:t>120.46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27.99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2.54</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0.51</w:t>
      </w:r>
      <w:r>
        <w:rPr>
          <w:rFonts w:eastAsia="仿宋_GB2312"/>
          <w:sz w:val="32"/>
          <w:szCs w:val="32"/>
        </w:rPr>
        <w:t>万元，降低</w:t>
      </w:r>
      <w:r>
        <w:rPr>
          <w:rFonts w:hint="eastAsia" w:eastAsia="仿宋_GB2312"/>
          <w:sz w:val="32"/>
          <w:szCs w:val="32"/>
          <w:lang w:val="en-US" w:eastAsia="zh-CN"/>
        </w:rPr>
        <w:t>16.72</w:t>
      </w:r>
      <w:r>
        <w:rPr>
          <w:rFonts w:eastAsia="仿宋_GB2312"/>
          <w:sz w:val="32"/>
          <w:szCs w:val="32"/>
        </w:rPr>
        <w:t>%，主要是</w:t>
      </w:r>
      <w:r>
        <w:rPr>
          <w:rFonts w:hint="eastAsia" w:eastAsia="仿宋_GB2312"/>
          <w:sz w:val="32"/>
          <w:szCs w:val="32"/>
          <w:lang w:eastAsia="zh-CN"/>
        </w:rPr>
        <w:t>公务车运行维护及公务接待支出减少。</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主要是本部门未发生“因公出国（境）费”经费支出、</w:t>
      </w:r>
      <w:r>
        <w:rPr>
          <w:rFonts w:hint="eastAsia" w:eastAsia="仿宋_GB2312"/>
          <w:sz w:val="32"/>
          <w:szCs w:val="32"/>
        </w:rPr>
        <w:t>“较年初预算无增减变化”、“较2017年度决算无增减变化”等。</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（二）公务用车购置及运行维护费支出</w:t>
      </w:r>
      <w:r>
        <w:rPr>
          <w:rFonts w:hint="eastAsia" w:eastAsia="楷体_GB2312"/>
          <w:b/>
          <w:bCs/>
          <w:sz w:val="32"/>
          <w:szCs w:val="32"/>
          <w:lang w:val="en-US" w:eastAsia="zh-CN"/>
        </w:rPr>
        <w:t>2.5</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val="en-US" w:eastAsia="zh-CN"/>
        </w:rPr>
        <w:t>等于</w:t>
      </w:r>
      <w:r>
        <w:rPr>
          <w:rFonts w:hint="eastAsia" w:ascii="仿宋_GB2312" w:eastAsia="仿宋_GB2312" w:cs="DengXian-Regular"/>
          <w:sz w:val="32"/>
          <w:szCs w:val="32"/>
        </w:rPr>
        <w:t>年初预算</w:t>
      </w:r>
      <w:r>
        <w:rPr>
          <w:rFonts w:hint="eastAsia" w:eastAsia="仿宋_GB2312"/>
          <w:sz w:val="32"/>
          <w:szCs w:val="32"/>
          <w:lang w:val="en-US" w:eastAsia="zh-CN"/>
        </w:rPr>
        <w:t>2.8</w:t>
      </w:r>
      <w:r>
        <w:rPr>
          <w:rFonts w:eastAsia="仿宋_GB2312"/>
          <w:sz w:val="32"/>
          <w:szCs w:val="32"/>
        </w:rPr>
        <w:t>万元</w:t>
      </w:r>
      <w:r>
        <w:rPr>
          <w:rFonts w:hint="eastAsia" w:ascii="仿宋_GB2312" w:eastAsia="仿宋_GB2312" w:cs="DengXian-Regular"/>
          <w:sz w:val="32"/>
          <w:szCs w:val="32"/>
        </w:rPr>
        <w:t>，</w:t>
      </w:r>
      <w:r>
        <w:rPr>
          <w:rFonts w:hint="eastAsia" w:eastAsia="仿宋_GB2312"/>
          <w:sz w:val="32"/>
          <w:szCs w:val="32"/>
          <w:lang w:eastAsia="zh-CN"/>
        </w:rPr>
        <w:t>减少</w:t>
      </w:r>
      <w:r>
        <w:rPr>
          <w:rFonts w:hint="eastAsia" w:eastAsia="仿宋_GB2312"/>
          <w:sz w:val="32"/>
          <w:szCs w:val="32"/>
          <w:lang w:val="en-US" w:eastAsia="zh-CN"/>
        </w:rPr>
        <w:t>10.71</w:t>
      </w:r>
      <w:r>
        <w:rPr>
          <w:rFonts w:eastAsia="仿宋_GB2312"/>
          <w:sz w:val="32"/>
          <w:szCs w:val="32"/>
        </w:rPr>
        <w:t>%</w:t>
      </w:r>
      <w:r>
        <w:rPr>
          <w:rFonts w:hint="eastAsia" w:eastAsia="仿宋_GB2312"/>
          <w:sz w:val="32"/>
          <w:szCs w:val="32"/>
          <w:lang w:val="en-US" w:eastAsia="zh-CN"/>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（三）公务接待费支出</w:t>
      </w:r>
      <w:r>
        <w:rPr>
          <w:rFonts w:hint="eastAsia" w:eastAsia="楷体_GB2312"/>
          <w:b/>
          <w:bCs/>
          <w:sz w:val="32"/>
          <w:szCs w:val="32"/>
          <w:lang w:val="en-US" w:eastAsia="zh-CN"/>
        </w:rPr>
        <w:t>0.04</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1</w:t>
      </w:r>
      <w:r>
        <w:rPr>
          <w:rFonts w:eastAsia="仿宋_GB2312"/>
          <w:sz w:val="32"/>
          <w:szCs w:val="32"/>
        </w:rPr>
        <w:t>批次、</w:t>
      </w:r>
      <w:r>
        <w:rPr>
          <w:rFonts w:hint="eastAsia" w:eastAsia="仿宋_GB2312"/>
          <w:sz w:val="32"/>
          <w:szCs w:val="32"/>
          <w:lang w:val="en-US" w:eastAsia="zh-CN"/>
        </w:rPr>
        <w:t>8</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0.21</w:t>
      </w:r>
      <w:r>
        <w:rPr>
          <w:rFonts w:eastAsia="仿宋_GB2312"/>
          <w:sz w:val="32"/>
          <w:szCs w:val="32"/>
        </w:rPr>
        <w:t>万元，降低</w:t>
      </w:r>
      <w:r>
        <w:rPr>
          <w:rFonts w:hint="eastAsia" w:eastAsia="仿宋_GB2312"/>
          <w:sz w:val="32"/>
          <w:szCs w:val="32"/>
          <w:lang w:val="en-US" w:eastAsia="zh-CN"/>
        </w:rPr>
        <w:t>84</w:t>
      </w:r>
      <w:r>
        <w:rPr>
          <w:rFonts w:eastAsia="仿宋_GB2312"/>
          <w:sz w:val="32"/>
          <w:szCs w:val="32"/>
        </w:rPr>
        <w:t>%，主要是</w:t>
      </w:r>
      <w:r>
        <w:rPr>
          <w:rFonts w:hint="eastAsia" w:eastAsia="仿宋_GB2312"/>
          <w:sz w:val="32"/>
          <w:szCs w:val="32"/>
          <w:lang w:eastAsia="zh-CN"/>
        </w:rPr>
        <w:t>厉行节俭，</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没有变化</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keepNext w:val="0"/>
        <w:keepLines w:val="0"/>
        <w:pageBreakBefore w:val="0"/>
        <w:widowControl w:val="0"/>
        <w:kinsoku/>
        <w:wordWrap/>
        <w:overflowPunct/>
        <w:topLinePunct w:val="0"/>
        <w:autoSpaceDE/>
        <w:autoSpaceDN/>
        <w:bidi w:val="0"/>
        <w:adjustRightInd/>
        <w:snapToGrid/>
        <w:spacing w:after="0"/>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keepNext w:val="0"/>
        <w:keepLines w:val="0"/>
        <w:pageBreakBefore w:val="0"/>
        <w:widowControl w:val="0"/>
        <w:kinsoku/>
        <w:wordWrap/>
        <w:overflowPunct/>
        <w:topLinePunct w:val="0"/>
        <w:autoSpaceDE w:val="0"/>
        <w:autoSpaceDN w:val="0"/>
        <w:bidi w:val="0"/>
        <w:adjustRightInd w:val="0"/>
        <w:snapToGrid/>
        <w:spacing w:after="0"/>
        <w:ind w:left="19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2018年度按照县财政局关于做好预算绩效管理工作的相关要求，我局突出重点，具体开展情况如下：</w:t>
      </w:r>
    </w:p>
    <w:p>
      <w:pPr>
        <w:keepNext w:val="0"/>
        <w:keepLines w:val="0"/>
        <w:pageBreakBefore w:val="0"/>
        <w:widowControl w:val="0"/>
        <w:kinsoku/>
        <w:wordWrap/>
        <w:overflowPunct/>
        <w:topLinePunct w:val="0"/>
        <w:autoSpaceDE w:val="0"/>
        <w:autoSpaceDN w:val="0"/>
        <w:bidi w:val="0"/>
        <w:adjustRightInd w:val="0"/>
        <w:snapToGrid/>
        <w:spacing w:after="0"/>
        <w:ind w:left="198"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增强绩效意，提高资金使用效益</w:t>
      </w:r>
    </w:p>
    <w:p>
      <w:pPr>
        <w:keepNext w:val="0"/>
        <w:keepLines w:val="0"/>
        <w:pageBreakBefore w:val="0"/>
        <w:widowControl w:val="0"/>
        <w:kinsoku/>
        <w:wordWrap/>
        <w:overflowPunct/>
        <w:topLinePunct w:val="0"/>
        <w:autoSpaceDE w:val="0"/>
        <w:autoSpaceDN w:val="0"/>
        <w:bidi w:val="0"/>
        <w:adjustRightInd w:val="0"/>
        <w:snapToGrid/>
        <w:spacing w:after="0"/>
        <w:ind w:left="19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我单位继续认真学习各类相关文件精神，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keepNext w:val="0"/>
        <w:keepLines w:val="0"/>
        <w:pageBreakBefore w:val="0"/>
        <w:widowControl w:val="0"/>
        <w:kinsoku/>
        <w:wordWrap/>
        <w:overflowPunct/>
        <w:topLinePunct w:val="0"/>
        <w:autoSpaceDE w:val="0"/>
        <w:autoSpaceDN w:val="0"/>
        <w:bidi w:val="0"/>
        <w:adjustRightInd w:val="0"/>
        <w:snapToGrid/>
        <w:spacing w:after="0"/>
        <w:ind w:left="198"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健全绩效评价工作机构、完善评价工作机制</w:t>
      </w:r>
    </w:p>
    <w:p>
      <w:pPr>
        <w:keepNext w:val="0"/>
        <w:keepLines w:val="0"/>
        <w:pageBreakBefore w:val="0"/>
        <w:widowControl w:val="0"/>
        <w:kinsoku/>
        <w:wordWrap/>
        <w:overflowPunct/>
        <w:topLinePunct w:val="0"/>
        <w:autoSpaceDE w:val="0"/>
        <w:autoSpaceDN w:val="0"/>
        <w:bidi w:val="0"/>
        <w:adjustRightInd w:val="0"/>
        <w:snapToGrid/>
        <w:spacing w:after="0"/>
        <w:ind w:left="19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p>
    <w:p>
      <w:pPr>
        <w:keepNext w:val="0"/>
        <w:keepLines w:val="0"/>
        <w:pageBreakBefore w:val="0"/>
        <w:widowControl w:val="0"/>
        <w:kinsoku/>
        <w:wordWrap/>
        <w:overflowPunct/>
        <w:topLinePunct w:val="0"/>
        <w:autoSpaceDE w:val="0"/>
        <w:autoSpaceDN w:val="0"/>
        <w:bidi w:val="0"/>
        <w:adjustRightInd w:val="0"/>
        <w:snapToGrid/>
        <w:spacing w:after="0"/>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明确重点，做好绩效自评</w:t>
      </w:r>
    </w:p>
    <w:p>
      <w:pPr>
        <w:autoSpaceDE w:val="0"/>
        <w:autoSpaceDN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支出绩效评价首先要减少资金使用管理中的损失浪费现象，其次要达到资金的合理、优化配给。我单位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adjustRightInd w:val="0"/>
        <w:snapToGrid w:val="0"/>
        <w:spacing w:after="0" w:line="580" w:lineRule="exact"/>
        <w:ind w:firstLine="643" w:firstLineChars="200"/>
        <w:rPr>
          <w:rFonts w:hint="eastAsia" w:ascii="仿宋_GB2312" w:eastAsia="仿宋_GB2312" w:cs="DengXian-Regular"/>
          <w:b/>
          <w:bCs/>
          <w:sz w:val="32"/>
          <w:szCs w:val="32"/>
        </w:rPr>
      </w:pPr>
      <w:r>
        <w:rPr>
          <w:rFonts w:hint="eastAsia" w:ascii="仿宋_GB2312" w:eastAsia="仿宋_GB2312" w:cs="DengXian-Regular"/>
          <w:b/>
          <w:bCs/>
          <w:sz w:val="32"/>
          <w:szCs w:val="32"/>
        </w:rPr>
        <w:t>（二）项目绩效自评结果。</w:t>
      </w:r>
    </w:p>
    <w:p>
      <w:pPr>
        <w:autoSpaceDE w:val="0"/>
        <w:autoSpaceDN w:val="0"/>
        <w:adjustRightInd w:val="0"/>
        <w:spacing w:line="360" w:lineRule="auto"/>
        <w:ind w:firstLine="640" w:firstLineChars="200"/>
        <w:jc w:val="left"/>
        <w:rPr>
          <w:rFonts w:hint="eastAsia" w:ascii="仿宋_GB2312" w:eastAsia="仿宋_GB2312" w:cs="DengXian-Regular"/>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中共大厂回族自治县委农村工作部</w:t>
      </w:r>
      <w:r>
        <w:rPr>
          <w:rFonts w:hint="eastAsia" w:ascii="仿宋_GB2312" w:hAnsi="仿宋_GB2312" w:eastAsia="仿宋_GB2312" w:cs="仿宋_GB2312"/>
          <w:sz w:val="32"/>
          <w:szCs w:val="32"/>
        </w:rPr>
        <w:t>在县委、县政府的领导下，认真学习贯彻党的十九大精神，以习近平新时代中国特色社会主义思想为统领，全面落实县委、县政府决策部署，践行“五个坚持”，坚持“三致标准”，不忘初心，牢记使命，说干就干，干就一流，圆满完成了各项工作任务，为开创新时代加快建设经济强县、美丽大厂做出了应有贡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line="584"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27.99</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年初预算数</w:t>
      </w:r>
      <w:r>
        <w:rPr>
          <w:rFonts w:hint="eastAsia" w:ascii="仿宋_GB2312" w:eastAsia="仿宋_GB2312" w:cs="DengXian-Regular"/>
          <w:sz w:val="32"/>
          <w:szCs w:val="32"/>
          <w:lang w:eastAsia="zh-CN"/>
        </w:rPr>
        <w:t>没有变化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2018年以前没有独立核算</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本部门没有公务车购置支出</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 w:hAnsi="仿宋" w:eastAsia="仿宋" w:cs="仿宋"/>
          <w:sz w:val="32"/>
          <w:szCs w:val="32"/>
        </w:rPr>
        <w:t>无政府性基金预算财政拨款收入支出、无国有资本经营预算财政拨款支出,无政府采购情况，</w:t>
      </w:r>
      <w:r>
        <w:rPr>
          <w:rFonts w:hint="eastAsia" w:ascii="仿宋_GB2312" w:eastAsia="仿宋_GB2312" w:cs="DengXian-Regular"/>
          <w:sz w:val="32"/>
          <w:szCs w:val="32"/>
        </w:rPr>
        <w:t>无收支及结转结余情况，故</w:t>
      </w:r>
      <w:r>
        <w:rPr>
          <w:rFonts w:hint="eastAsia" w:ascii="仿宋" w:hAnsi="仿宋" w:eastAsia="仿宋" w:cs="仿宋"/>
          <w:sz w:val="32"/>
          <w:szCs w:val="32"/>
        </w:rPr>
        <w:t>无政府性基金预算财政拨款收入支出、无国有资本经营预算财政拨款支出,无政府采购</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773E85B-51E0-4062-A4EF-AB740BE8CF21}"/>
  </w:font>
  <w:font w:name="黑体">
    <w:panose1 w:val="02010609060101010101"/>
    <w:charset w:val="86"/>
    <w:family w:val="auto"/>
    <w:pitch w:val="default"/>
    <w:sig w:usb0="800002BF" w:usb1="38CF7CFA" w:usb2="00000016" w:usb3="00000000" w:csb0="00040001" w:csb1="00000000"/>
    <w:embedRegular r:id="rId2" w:fontKey="{7FBA0FF2-9736-4F1D-9103-312C9174AC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831ED916-7B92-452B-A25D-3D1E4B041C55}"/>
  </w:font>
  <w:font w:name="楷体">
    <w:panose1 w:val="02010609060101010101"/>
    <w:charset w:val="86"/>
    <w:family w:val="modern"/>
    <w:pitch w:val="default"/>
    <w:sig w:usb0="800002BF" w:usb1="38CF7CFA" w:usb2="00000016" w:usb3="00000000" w:csb0="00040001" w:csb1="00000000"/>
    <w:embedRegular r:id="rId4" w:fontKey="{F2108B5F-028A-48A1-9992-BF95A92F897E}"/>
  </w:font>
  <w:font w:name="方正小标宋简体">
    <w:panose1 w:val="03000509000000000000"/>
    <w:charset w:val="86"/>
    <w:family w:val="auto"/>
    <w:pitch w:val="default"/>
    <w:sig w:usb0="00000001" w:usb1="080E0000" w:usb2="00000000" w:usb3="00000000" w:csb0="00040000" w:csb1="00000000"/>
    <w:embedRegular r:id="rId5" w:fontKey="{11AA6176-9877-4A71-B84E-5F212AB67F0B}"/>
  </w:font>
  <w:font w:name="仿宋_GB2312">
    <w:panose1 w:val="02010609030101010101"/>
    <w:charset w:val="86"/>
    <w:family w:val="modern"/>
    <w:pitch w:val="default"/>
    <w:sig w:usb0="00000001" w:usb1="080E0000" w:usb2="00000000" w:usb3="00000000" w:csb0="00040000" w:csb1="00000000"/>
    <w:embedRegular r:id="rId6" w:fontKey="{5C694BD8-32F1-4774-9D8C-11B1AC2E3AB7}"/>
  </w:font>
  <w:font w:name="ArialUnicodeMS">
    <w:altName w:val="Malgun Gothic"/>
    <w:panose1 w:val="00000000000000000000"/>
    <w:charset w:val="81"/>
    <w:family w:val="auto"/>
    <w:pitch w:val="default"/>
    <w:sig w:usb0="00000000" w:usb1="00000000" w:usb2="00000010" w:usb3="00000000" w:csb0="00080001" w:csb1="00000000"/>
    <w:embedRegular r:id="rId7" w:fontKey="{5D2C44A9-46DF-42AC-B49E-6E73CB0CFDD4}"/>
  </w:font>
  <w:font w:name="方正书宋_GBK">
    <w:altName w:val="宋体"/>
    <w:panose1 w:val="00000000000000000000"/>
    <w:charset w:val="86"/>
    <w:family w:val="roman"/>
    <w:pitch w:val="default"/>
    <w:sig w:usb0="00000000" w:usb1="00000000" w:usb2="00000010" w:usb3="00000000" w:csb0="00040000" w:csb1="00000000"/>
    <w:embedRegular r:id="rId8" w:fontKey="{1DC0C141-0051-4068-879A-A69567D34F52}"/>
  </w:font>
  <w:font w:name="MS-UIGothic,Bold">
    <w:altName w:val="Malgun Gothic"/>
    <w:panose1 w:val="00000000000000000000"/>
    <w:charset w:val="81"/>
    <w:family w:val="auto"/>
    <w:pitch w:val="default"/>
    <w:sig w:usb0="00000000" w:usb1="00000000" w:usb2="00000010" w:usb3="00000000" w:csb0="00080000" w:csb1="00000000"/>
    <w:embedRegular r:id="rId9" w:fontKey="{97704153-20AA-454F-BC85-C2EC5A7C0C79}"/>
  </w:font>
  <w:font w:name="DengXian-Regular">
    <w:altName w:val="宋体"/>
    <w:panose1 w:val="00000000000000000000"/>
    <w:charset w:val="86"/>
    <w:family w:val="auto"/>
    <w:pitch w:val="default"/>
    <w:sig w:usb0="00000000" w:usb1="00000000" w:usb2="00000010" w:usb3="00000000" w:csb0="00040001" w:csb1="00000000"/>
    <w:embedRegular r:id="rId10" w:fontKey="{EFC307C0-C048-4389-8A51-E2CC8BEAC00E}"/>
  </w:font>
  <w:font w:name="楷体_GB2312">
    <w:panose1 w:val="02010609030101010101"/>
    <w:charset w:val="86"/>
    <w:family w:val="modern"/>
    <w:pitch w:val="default"/>
    <w:sig w:usb0="00000001" w:usb1="080E0000" w:usb2="00000000" w:usb3="00000000" w:csb0="00040000" w:csb1="00000000"/>
    <w:embedRegular r:id="rId11" w:fontKey="{5F36950D-BED9-40C6-9B3A-2DD70405852A}"/>
  </w:font>
  <w:font w:name="DengXian-Bold">
    <w:altName w:val="宋体"/>
    <w:panose1 w:val="00000000000000000000"/>
    <w:charset w:val="86"/>
    <w:family w:val="auto"/>
    <w:pitch w:val="default"/>
    <w:sig w:usb0="00000000" w:usb1="00000000" w:usb2="00000010" w:usb3="00000000" w:csb0="00040001" w:csb1="00000000"/>
    <w:embedRegular r:id="rId12" w:fontKey="{D548C04E-3D4F-485A-BB69-34647E34DB6D}"/>
  </w:font>
  <w:font w:name="仿宋">
    <w:panose1 w:val="02010609060101010101"/>
    <w:charset w:val="86"/>
    <w:family w:val="modern"/>
    <w:pitch w:val="default"/>
    <w:sig w:usb0="800002BF" w:usb1="38CF7CFA" w:usb2="00000016" w:usb3="00000000" w:csb0="00040001" w:csb1="00000000"/>
    <w:embedRegular r:id="rId13" w:fontKey="{E70B6CAE-C430-4C86-84BE-871CE55DBB37}"/>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0F7946"/>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21A6A"/>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6F6950"/>
    <w:rsid w:val="02745B37"/>
    <w:rsid w:val="04073F84"/>
    <w:rsid w:val="04370DDD"/>
    <w:rsid w:val="04880624"/>
    <w:rsid w:val="05C216C3"/>
    <w:rsid w:val="064703EC"/>
    <w:rsid w:val="06EB1F3F"/>
    <w:rsid w:val="083E4EFC"/>
    <w:rsid w:val="0A6A741A"/>
    <w:rsid w:val="0AE50A02"/>
    <w:rsid w:val="0B60750A"/>
    <w:rsid w:val="10686488"/>
    <w:rsid w:val="10DF728A"/>
    <w:rsid w:val="11951E4D"/>
    <w:rsid w:val="1264200E"/>
    <w:rsid w:val="13197F61"/>
    <w:rsid w:val="13991D50"/>
    <w:rsid w:val="13A407EF"/>
    <w:rsid w:val="141C5B77"/>
    <w:rsid w:val="147667D0"/>
    <w:rsid w:val="14E86B17"/>
    <w:rsid w:val="17305520"/>
    <w:rsid w:val="189744B7"/>
    <w:rsid w:val="18BB4FD6"/>
    <w:rsid w:val="18D8339D"/>
    <w:rsid w:val="19722F19"/>
    <w:rsid w:val="1A21388F"/>
    <w:rsid w:val="1A570D2F"/>
    <w:rsid w:val="1A79197C"/>
    <w:rsid w:val="1A837CD4"/>
    <w:rsid w:val="1C521F4A"/>
    <w:rsid w:val="1DA74C6C"/>
    <w:rsid w:val="1DDF6B04"/>
    <w:rsid w:val="1DF4773B"/>
    <w:rsid w:val="1F6735D7"/>
    <w:rsid w:val="224A035A"/>
    <w:rsid w:val="23D05FF8"/>
    <w:rsid w:val="24806780"/>
    <w:rsid w:val="26A26767"/>
    <w:rsid w:val="27B55CAB"/>
    <w:rsid w:val="28FB0B8D"/>
    <w:rsid w:val="29CE7511"/>
    <w:rsid w:val="2D2B7942"/>
    <w:rsid w:val="2D46481D"/>
    <w:rsid w:val="2DCA23FA"/>
    <w:rsid w:val="2E733B28"/>
    <w:rsid w:val="2FC93B98"/>
    <w:rsid w:val="303A1A3F"/>
    <w:rsid w:val="30A83000"/>
    <w:rsid w:val="312D1DE1"/>
    <w:rsid w:val="31852B5A"/>
    <w:rsid w:val="319C336E"/>
    <w:rsid w:val="324A61B9"/>
    <w:rsid w:val="32D01238"/>
    <w:rsid w:val="37486D30"/>
    <w:rsid w:val="38FF3364"/>
    <w:rsid w:val="397C4757"/>
    <w:rsid w:val="3A21312A"/>
    <w:rsid w:val="3C57223D"/>
    <w:rsid w:val="3DFC59A8"/>
    <w:rsid w:val="3ECF245E"/>
    <w:rsid w:val="3F89053C"/>
    <w:rsid w:val="3FB96314"/>
    <w:rsid w:val="403F4B64"/>
    <w:rsid w:val="419771E3"/>
    <w:rsid w:val="42C70F41"/>
    <w:rsid w:val="438377C0"/>
    <w:rsid w:val="459A0599"/>
    <w:rsid w:val="4A211F62"/>
    <w:rsid w:val="4DF936A7"/>
    <w:rsid w:val="4E97083C"/>
    <w:rsid w:val="503126E8"/>
    <w:rsid w:val="51F47847"/>
    <w:rsid w:val="5305521A"/>
    <w:rsid w:val="53A44FAF"/>
    <w:rsid w:val="550541DA"/>
    <w:rsid w:val="56D33841"/>
    <w:rsid w:val="594329EC"/>
    <w:rsid w:val="59750862"/>
    <w:rsid w:val="5BEE1540"/>
    <w:rsid w:val="5DE61A5D"/>
    <w:rsid w:val="61A20A1A"/>
    <w:rsid w:val="62F506F1"/>
    <w:rsid w:val="63C04243"/>
    <w:rsid w:val="649C01C7"/>
    <w:rsid w:val="65071AB2"/>
    <w:rsid w:val="652A1237"/>
    <w:rsid w:val="66072116"/>
    <w:rsid w:val="686053A8"/>
    <w:rsid w:val="687E03BA"/>
    <w:rsid w:val="68B74BAC"/>
    <w:rsid w:val="699A3F60"/>
    <w:rsid w:val="6E0D2A05"/>
    <w:rsid w:val="71B722C6"/>
    <w:rsid w:val="72706696"/>
    <w:rsid w:val="72902E62"/>
    <w:rsid w:val="738B3742"/>
    <w:rsid w:val="73C61104"/>
    <w:rsid w:val="76FD63BB"/>
    <w:rsid w:val="771026BB"/>
    <w:rsid w:val="776452EA"/>
    <w:rsid w:val="791C31BD"/>
    <w:rsid w:val="7BCC6706"/>
    <w:rsid w:val="7DC663B9"/>
    <w:rsid w:val="7DCF4E52"/>
    <w:rsid w:val="7E001D66"/>
    <w:rsid w:val="7F7A786C"/>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财政拨款收入</c:v>
                </c:pt>
              </c:strCache>
            </c:strRef>
          </c:cat>
          <c:val>
            <c:numRef>
              <c:f>Sheet1!$B$2</c:f>
              <c:numCache>
                <c:formatCode>General</c:formatCode>
                <c:ptCount val="1"/>
                <c:pt idx="0">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c:f>
              <c:strCache>
                <c:ptCount val="1"/>
                <c:pt idx="0">
                  <c:v>财政拨款收入</c:v>
                </c:pt>
              </c:strCache>
            </c:strRef>
          </c:cat>
          <c:val>
            <c:numRef>
              <c:f>Sheet1!$B$2</c:f>
              <c:numCache>
                <c:formatCode>General</c:formatCode>
                <c:ptCount val="1"/>
                <c:pt idx="0">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tint val="100000"/>
                <a:shade val="100000"/>
                <a:hueMod val="100000"/>
                <a:satMod val="100000"/>
              </a:schemeClr>
            </a:solidFill>
            <a:ln>
              <a:noFill/>
            </a:ln>
            <a:effectLst/>
          </c:spPr>
          <c:invertIfNegative val="0"/>
          <c:dLbls>
            <c:delete val="1"/>
          </c:dLbls>
          <c:cat>
            <c:strRef>
              <c:f>Sheet1!$A$2:$A$3</c:f>
              <c:strCache>
                <c:ptCount val="2"/>
                <c:pt idx="0">
                  <c:v>预算</c:v>
                </c:pt>
                <c:pt idx="1">
                  <c:v>决算</c:v>
                </c:pt>
              </c:strCache>
            </c:strRef>
          </c:cat>
          <c:val>
            <c:numRef>
              <c:f>Sheet1!$B$2:$B$3</c:f>
              <c:numCache>
                <c:formatCode>General</c:formatCode>
                <c:ptCount val="2"/>
                <c:pt idx="0">
                  <c:v>149.26</c:v>
                </c:pt>
                <c:pt idx="1">
                  <c:v>149.26</c:v>
                </c:pt>
              </c:numCache>
            </c:numRef>
          </c:val>
        </c:ser>
        <c:ser>
          <c:idx val="1"/>
          <c:order val="1"/>
          <c:tx>
            <c:strRef>
              <c:f>Sheet1!$C$1</c:f>
              <c:strCache>
                <c:ptCount val="1"/>
                <c:pt idx="0">
                  <c:v>支出</c:v>
                </c:pt>
              </c:strCache>
            </c:strRef>
          </c:tx>
          <c:spPr>
            <a:solidFill>
              <a:schemeClr val="accent2">
                <a:tint val="100000"/>
                <a:shade val="100000"/>
                <a:hueMod val="100000"/>
                <a:satMod val="100000"/>
              </a:schemeClr>
            </a:solidFill>
            <a:ln>
              <a:noFill/>
            </a:ln>
            <a:effectLst/>
          </c:spPr>
          <c:invertIfNegative val="0"/>
          <c:dLbls>
            <c:delete val="1"/>
          </c:dLbls>
          <c:cat>
            <c:strRef>
              <c:f>Sheet1!$A$2:$A$3</c:f>
              <c:strCache>
                <c:ptCount val="2"/>
                <c:pt idx="0">
                  <c:v>预算</c:v>
                </c:pt>
                <c:pt idx="1">
                  <c:v>决算</c:v>
                </c:pt>
              </c:strCache>
            </c:strRef>
          </c:cat>
          <c:val>
            <c:numRef>
              <c:f>Sheet1!$C$2:$C$3</c:f>
              <c:numCache>
                <c:formatCode>General</c:formatCode>
                <c:ptCount val="2"/>
                <c:pt idx="0">
                  <c:v>149.26</c:v>
                </c:pt>
                <c:pt idx="1">
                  <c:v>148.45</c:v>
                </c:pt>
              </c:numCache>
            </c:numRef>
          </c:val>
        </c:ser>
        <c:ser>
          <c:idx val="2"/>
          <c:order val="2"/>
          <c:tx>
            <c:strRef>
              <c:f>Sheet1!#REF!</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Sheet1!$A$2:$A$3</c:f>
              <c:strCache>
                <c:ptCount val="2"/>
                <c:pt idx="0">
                  <c:v>预算</c:v>
                </c:pt>
                <c:pt idx="1">
                  <c:v>决算</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63347039"/>
        <c:axId val="971023929"/>
      </c:barChart>
      <c:catAx>
        <c:axId val="1633470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023929"/>
        <c:crosses val="autoZero"/>
        <c:auto val="1"/>
        <c:lblAlgn val="ctr"/>
        <c:lblOffset val="100"/>
        <c:noMultiLvlLbl val="0"/>
      </c:catAx>
      <c:valAx>
        <c:axId val="9710239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3470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5"/>
          <c:y val="0.143"/>
          <c:w val="0.61525"/>
          <c:h val="0.820333333333333"/>
        </c:manualLayout>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443777571002491"/>
                  <c:y val="-0.248496207007296"/>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84.25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1409414946537"/>
                  <c:y val="-0.0741402019162135"/>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8.05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7296802743735"/>
                  <c:y val="-0.070506338116834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2.86</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78446126997864"/>
                  <c:y val="-0.0496958174539419"/>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4.84</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一般公共服务支出</c:v>
                </c:pt>
                <c:pt idx="1">
                  <c:v>社会保障和就业支出</c:v>
                </c:pt>
                <c:pt idx="2">
                  <c:v>医疗卫生与计划生育支出</c:v>
                </c:pt>
                <c:pt idx="3">
                  <c:v>住房保障支出</c:v>
                </c:pt>
              </c:strCache>
            </c:strRef>
          </c:cat>
          <c:val>
            <c:numRef>
              <c:f>Sheet1!$B$2:$B$5</c:f>
              <c:numCache>
                <c:formatCode>0.00%</c:formatCode>
                <c:ptCount val="4"/>
                <c:pt idx="0">
                  <c:v>0.8425</c:v>
                </c:pt>
                <c:pt idx="1">
                  <c:v>0.0805</c:v>
                </c:pt>
                <c:pt idx="2">
                  <c:v>0.0286</c:v>
                </c:pt>
                <c:pt idx="3">
                  <c:v>0.0484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WPS_1504838102</cp:lastModifiedBy>
  <cp:lastPrinted>2019-09-27T00:42:00Z</cp:lastPrinted>
  <dcterms:modified xsi:type="dcterms:W3CDTF">2021-06-08T08:57:03Z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